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0590c051f45b8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32980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NOVA BUKOVICA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554.375,53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422.394,87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419.450,07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360.226,22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85,9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134.925,46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62.168,65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46,1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4.381,20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1.635,50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4.381,20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1.635,50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37,3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357.052,27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49.771,06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422.206,39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848,3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PRIMITAKA OD FINANCIJSKE IMOVINE I ZADUŽIVANJA (šifre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49.771,06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65.154,12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130,9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4.620,97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Manjak prihod je zbog toga što je plaćeno više rashoda od dobivenih prihoda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Stalni porezi na nepokretnu imovinu (zemlju, zgrade, kuće i ostalo)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porez na nekretnine - nije ga bilo u 2025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Povremeni porezi na imovinu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3.408,84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6.021,32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176,6</w:t>
            </w:r>
          </w:p>
        </w:tc>
      </w:tr>
    </w:tbl>
    <w:p>
      <w:pPr>
        <w:spacing w:before="0" w:after="0"/>
      </w:pPr>
    </w:p>
    <w:p>
      <w:r>
        <w:t xml:space="preserve">Plaćeno je više poreza na promet nekretnina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promet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2.613,90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802,93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30,7</w:t>
            </w:r>
          </w:p>
        </w:tc>
      </w:tr>
    </w:tbl>
    <w:p>
      <w:pPr>
        <w:spacing w:before="0" w:after="0"/>
      </w:pPr>
    </w:p>
    <w:p>
      <w:r>
        <w:t xml:space="preserve">Manje je uplaćeno poreza na potrošnju alkoholnih i bezalkoholnih pića u odnosu na prethodnu godinu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214.473,84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221.014,22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103,0</w:t>
            </w:r>
          </w:p>
        </w:tc>
      </w:tr>
    </w:tbl>
    <w:p>
      <w:pPr>
        <w:spacing w:before="0" w:after="0"/>
      </w:pPr>
    </w:p>
    <w:p>
      <w:r>
        <w:t xml:space="preserve">Sredstva fiskalnog izravnanja i fiskalne održivosti dječjeg vrtića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Doprinosi za šume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139.557,60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43.893,94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31,5</w:t>
            </w:r>
          </w:p>
        </w:tc>
      </w:tr>
    </w:tbl>
    <w:p>
      <w:pPr>
        <w:spacing w:before="0" w:after="0"/>
      </w:pPr>
    </w:p>
    <w:p>
      <w:r>
        <w:t xml:space="preserve">manje krčenje šuma u gledanom razdoblju razlog je što su prihodi manji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18.386,16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1.156,99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6,3</w:t>
            </w:r>
          </w:p>
        </w:tc>
      </w:tr>
    </w:tbl>
    <w:p>
      <w:pPr>
        <w:spacing w:before="0" w:after="0"/>
      </w:pPr>
    </w:p>
    <w:p>
      <w:r>
        <w:t xml:space="preserve">manje ostalih prihoda u odnosu na 2025.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38.181,92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22.539,41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59,0</w:t>
            </w:r>
          </w:p>
        </w:tc>
      </w:tr>
    </w:tbl>
    <w:p>
      <w:pPr>
        <w:spacing w:before="0" w:after="0"/>
      </w:pPr>
    </w:p>
    <w:p>
      <w:r>
        <w:t xml:space="preserve">Uplatnice za komunalnu naknade poslane su u travnju pa su uplate u prva dva  tromjesečja manja u odnosu na isto razdoblje prošle godine kad su se  slale ranije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rashodi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8.207,23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6.220,48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75,8</w:t>
            </w:r>
          </w:p>
        </w:tc>
      </w:tr>
    </w:tbl>
    <w:p>
      <w:pPr>
        <w:spacing w:before="0" w:after="0"/>
      </w:pPr>
    </w:p>
    <w:p>
      <w:r>
        <w:t xml:space="preserve">paušalna naknada za prehranu radnika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12.500,76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38.229,08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305,8</w:t>
            </w:r>
          </w:p>
        </w:tc>
      </w:tr>
    </w:tbl>
    <w:p>
      <w:pPr>
        <w:spacing w:before="0" w:after="0"/>
      </w:pPr>
    </w:p>
    <w:p>
      <w:r>
        <w:t xml:space="preserve">Osim redovnog održavanja programa plaćene su i izmjene u sustavu eRačuna i trošak geodeta za uvođenje u posjed poljoprivrednog zemljišta u vlasništvu RH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predstavničkih i izvršnih tijela, povjerenstava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38.068,26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5.758,54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15,1</w:t>
            </w:r>
          </w:p>
        </w:tc>
      </w:tr>
    </w:tbl>
    <w:p>
      <w:pPr>
        <w:spacing w:before="0" w:after="0"/>
      </w:pPr>
    </w:p>
    <w:p>
      <w:r>
        <w:t xml:space="preserve">prethodne godine su bile isplaćene naknade za izbore kojih ove godine nema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Reprezentacija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2.478,50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13.380,41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539,9</w:t>
            </w:r>
          </w:p>
        </w:tc>
      </w:tr>
    </w:tbl>
    <w:p>
      <w:pPr>
        <w:spacing w:before="0" w:after="0"/>
      </w:pPr>
    </w:p>
    <w:p>
      <w:r>
        <w:t xml:space="preserve">knjižen je račun za glazbenog izvođača za dan općine koji je prošle godine bio u kasnijem razdoblju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Kamate za primljene kredite i zajmove od kreditnih i ostalih financijskih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4.954,34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6.148,60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124,1</w:t>
            </w:r>
          </w:p>
        </w:tc>
      </w:tr>
    </w:tbl>
    <w:p>
      <w:pPr>
        <w:spacing w:before="0" w:after="0"/>
      </w:pPr>
    </w:p>
    <w:p>
      <w:r>
        <w:t xml:space="preserve"> </w:t>
      </w:r>
    </w:p>
    <w:p>
      <w:r>
        <w:t xml:space="preserve">Odnose se na kamate za dugoročni kredit i okvirni kredit po poslovnom računu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Primljeni krediti od tuzemnih kreditnih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357.052,27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okvirni kredit po poslovnom računu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Otplata glavnice primljenih kredita od tuzemnih kreditnih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49.771,06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422.206,39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848,3</w:t>
            </w:r>
          </w:p>
        </w:tc>
      </w:tr>
    </w:tbl>
    <w:p>
      <w:pPr>
        <w:spacing w:before="0" w:after="0"/>
      </w:pPr>
    </w:p>
    <w:p>
      <w:r>
        <w:t xml:space="preserve">dugoročni kredit i okvirni kredit po poslovnom računu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bolest, invalidnost i smrtni slučaj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1.420,14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1.920,48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135,2</w:t>
            </w:r>
          </w:p>
        </w:tc>
      </w:tr>
    </w:tbl>
    <w:p>
      <w:pPr>
        <w:spacing w:before="0" w:after="0"/>
      </w:pPr>
    </w:p>
    <w:p>
      <w:r>
        <w:t xml:space="preserve">naknada za bolovanje preko 90 dana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32.734,33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Dospjele obveze su nastale iz razloga što su nisu plaćene do isteka roka plaćanja i poslije datuma izvješća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nedospjelih obveza na kraju izvještajnog razdoblja (šifre V010 + ND23 + ND24 + 'ND dio 25,26' + ND27)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903.953,34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veći dio se odnosi za obveze za otplatu kredita koje nisu dospjele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6207e5217ff4903" /></Relationships>
</file>